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Chapter 20 - Ludus Orbilii</w:t>
      </w:r>
    </w:p>
    <w:p>
      <w:pPr>
        <w:pStyle w:val="Body"/>
        <w:jc w:val="center"/>
        <w:rPr>
          <w:b w:val="1"/>
          <w:bCs w:val="1"/>
        </w:rPr>
      </w:pPr>
    </w:p>
    <w:p>
      <w:pPr>
        <w:pStyle w:val="Body"/>
        <w:jc w:val="left"/>
      </w:pPr>
      <w:r>
        <w:rPr>
          <w:rtl w:val="0"/>
        </w:rPr>
        <w:tab/>
        <w:t xml:space="preserve">prima luce Flaccus Quintum excitavit. ille se lavit et novam togam induit. pater filiusque in viam descenderunt et festinabant ad Orbilii ludum. Flaccus capsulam Quinti manibus ferebat partesque paedagogi agebat. celeriter contenderunt et ad ludum mox advenerant. </w:t>
      </w:r>
    </w:p>
    <w:p>
      <w:pPr>
        <w:pStyle w:val="Body"/>
        <w:jc w:val="left"/>
      </w:pPr>
    </w:p>
    <w:p>
      <w:pPr>
        <w:pStyle w:val="Body"/>
        <w:jc w:val="left"/>
      </w:pPr>
      <w:r>
        <w:rPr>
          <w:rtl w:val="0"/>
        </w:rPr>
        <w:tab/>
        <w:t xml:space="preserve">ianua aperta erat; intraverunt et Orbilium quaerebant. invenerunt eum in aula sedentem. vir gravis erat; longam barbam habebat vultumque severum; in manu ferulam gerebat. Flaccus accessit et </w:t>
      </w:r>
      <w:r>
        <w:rPr>
          <w:rFonts w:hAnsi="Helvetica" w:hint="default"/>
          <w:rtl w:val="0"/>
          <w:lang w:val="en-US"/>
        </w:rPr>
        <w:t>‘</w:t>
      </w:r>
      <w:r>
        <w:rPr>
          <w:rtl w:val="0"/>
          <w:lang w:val="en-US"/>
        </w:rPr>
        <w:t>ecce!</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magister; filium meum Quintum ad te duco.</w:t>
      </w:r>
      <w:r>
        <w:rPr>
          <w:rFonts w:hAnsi="Helvetica" w:hint="default"/>
          <w:rtl w:val="0"/>
          <w:lang w:val="en-US"/>
        </w:rPr>
        <w:t xml:space="preserve">’ </w:t>
      </w:r>
      <w:r>
        <w:rPr>
          <w:rtl w:val="0"/>
          <w:lang w:val="en-US"/>
        </w:rPr>
        <w:t xml:space="preserve">ille Quintum inspexit et </w:t>
      </w:r>
      <w:r>
        <w:rPr>
          <w:rFonts w:hAnsi="Helvetica" w:hint="default"/>
          <w:rtl w:val="0"/>
          <w:lang w:val="en-US"/>
        </w:rPr>
        <w:t>‘</w:t>
      </w:r>
      <w:r>
        <w:rPr>
          <w:rtl w:val="0"/>
          <w:lang w:val="en-US"/>
        </w:rPr>
        <w:t>veni huc, Quinte,</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et pauca mihi responde.</w:t>
      </w:r>
      <w:r>
        <w:rPr>
          <w:rFonts w:hAnsi="Helvetica" w:hint="default"/>
          <w:rtl w:val="0"/>
          <w:lang w:val="en-US"/>
        </w:rPr>
        <w:t>’</w:t>
      </w:r>
    </w:p>
    <w:p>
      <w:pPr>
        <w:pStyle w:val="Body"/>
        <w:jc w:val="left"/>
      </w:pPr>
    </w:p>
    <w:p>
      <w:pPr>
        <w:pStyle w:val="Body"/>
        <w:jc w:val="left"/>
      </w:pPr>
      <w:r>
        <w:rPr>
          <w:rtl w:val="0"/>
        </w:rPr>
        <w:tab/>
        <w:t xml:space="preserve">Orbilius multa Quintum rogavit, primum de rebus Romanis; </w:t>
      </w:r>
      <w:r>
        <w:rPr>
          <w:rFonts w:hAnsi="Helvetica" w:hint="default"/>
          <w:rtl w:val="0"/>
          <w:lang w:val="en-US"/>
        </w:rPr>
        <w:t>‘</w:t>
      </w:r>
      <w:r>
        <w:rPr>
          <w:rtl w:val="0"/>
          <w:lang w:val="en-US"/>
        </w:rPr>
        <w:t>quis</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Romam condidit? quis Tarquinum Superbum Roma expulit? quando Hannibal in Italiam invasit?</w:t>
      </w:r>
      <w:r>
        <w:rPr>
          <w:rFonts w:hAnsi="Helvetica" w:hint="default"/>
          <w:rtl w:val="0"/>
          <w:lang w:val="en-US"/>
        </w:rPr>
        <w:t xml:space="preserve">’ </w:t>
      </w:r>
      <w:r>
        <w:rPr>
          <w:rtl w:val="0"/>
          <w:lang w:val="en-US"/>
        </w:rPr>
        <w:t xml:space="preserve">et multa alia. Quintus facile respondere poterat. deinde Orbilius librum ei tradidit iussitque eum legere; Quintus librum manibus accepit et facile eum legebat. Orbilius </w:t>
      </w:r>
      <w:r>
        <w:rPr>
          <w:rFonts w:hAnsi="Helvetica" w:hint="default"/>
          <w:rtl w:val="0"/>
          <w:lang w:val="en-US"/>
        </w:rPr>
        <w:t>‘</w:t>
      </w:r>
      <w:r>
        <w:rPr>
          <w:rtl w:val="0"/>
          <w:lang w:val="en-US"/>
        </w:rPr>
        <w:t>euge</w:t>
      </w:r>
      <w:r>
        <w:rPr>
          <w:rFonts w:hAnsi="Helvetica" w:hint="default"/>
          <w:rtl w:val="0"/>
          <w:lang w:val="en-US"/>
        </w:rPr>
        <w:t>’</w:t>
      </w:r>
      <w:r>
        <w:rPr>
          <w:rtl w:val="0"/>
          <w:lang w:val="en-US"/>
        </w:rPr>
        <w:t xml:space="preserve">, inquit, </w:t>
      </w:r>
      <w:r>
        <w:rPr>
          <w:rFonts w:hAnsi="Helvetica" w:hint="default"/>
          <w:rtl w:val="0"/>
          <w:lang w:val="en-US"/>
        </w:rPr>
        <w:t>‘</w:t>
      </w:r>
      <w:r>
        <w:rPr>
          <w:rtl w:val="0"/>
          <w:lang w:val="en-US"/>
        </w:rPr>
        <w:t>puer bene legere potest.</w:t>
      </w:r>
      <w:r>
        <w:rPr>
          <w:rFonts w:hAnsi="Helvetica" w:hint="default"/>
          <w:rtl w:val="0"/>
          <w:lang w:val="en-US"/>
        </w:rPr>
        <w:t xml:space="preserve">’ </w:t>
      </w:r>
      <w:r>
        <w:rPr>
          <w:rtl w:val="0"/>
          <w:lang w:val="en-US"/>
        </w:rPr>
        <w:t xml:space="preserve">deinde librum Graece scriptum Quinto tradidit. Flaccus anxius erat; ad Orbilium processit; </w:t>
      </w:r>
      <w:r>
        <w:rPr>
          <w:rFonts w:hAnsi="Helvetica" w:hint="default"/>
          <w:rtl w:val="0"/>
          <w:lang w:val="en-US"/>
        </w:rPr>
        <w:t>‘</w:t>
      </w:r>
      <w:r>
        <w:rPr>
          <w:rtl w:val="0"/>
          <w:lang w:val="en-US"/>
        </w:rPr>
        <w:t>filius meus</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Graece nec dicere nec legere potest.</w:t>
      </w:r>
      <w:r>
        <w:rPr>
          <w:rFonts w:hAnsi="Helvetica" w:hint="default"/>
          <w:rtl w:val="0"/>
          <w:lang w:val="en-US"/>
        </w:rPr>
        <w:t xml:space="preserve">’ </w:t>
      </w:r>
      <w:r>
        <w:rPr>
          <w:rtl w:val="0"/>
          <w:lang w:val="en-US"/>
        </w:rPr>
        <w:t xml:space="preserve">Orbilius attonitus erat; </w:t>
      </w:r>
      <w:r>
        <w:rPr>
          <w:rFonts w:hAnsi="Helvetica" w:hint="default"/>
          <w:rtl w:val="0"/>
          <w:lang w:val="en-US"/>
        </w:rPr>
        <w:t>‘</w:t>
      </w:r>
      <w:r>
        <w:rPr>
          <w:rtl w:val="0"/>
          <w:lang w:val="en-US"/>
        </w:rPr>
        <w:t>quid?</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quid? puer Graece nec dicere nec legere potest? debet statim litteras Graecas discere.</w:t>
      </w:r>
      <w:r>
        <w:rPr>
          <w:rFonts w:hAnsi="Helvetica" w:hint="default"/>
          <w:rtl w:val="0"/>
          <w:lang w:val="en-US"/>
        </w:rPr>
        <w:t xml:space="preserve">’ </w:t>
      </w:r>
      <w:r>
        <w:rPr>
          <w:rtl w:val="0"/>
          <w:lang w:val="en-US"/>
        </w:rPr>
        <w:t xml:space="preserve">librum Quinto tradidit Graece scriptum et iussit eum omnes litteras celeriter discere. </w:t>
      </w:r>
    </w:p>
    <w:p>
      <w:pPr>
        <w:pStyle w:val="Body"/>
        <w:jc w:val="left"/>
      </w:pPr>
      <w:r>
        <w:tab/>
      </w:r>
    </w:p>
    <w:p>
      <w:pPr>
        <w:pStyle w:val="Body"/>
        <w:jc w:val="left"/>
      </w:pPr>
      <w:r>
        <w:rPr>
          <w:rtl w:val="0"/>
        </w:rPr>
        <w:tab/>
        <w:t xml:space="preserve">ceteri pueri iam advenerant. Orbilius </w:t>
      </w:r>
      <w:r>
        <w:rPr>
          <w:rFonts w:hAnsi="Helvetica" w:hint="default"/>
          <w:rtl w:val="0"/>
          <w:lang w:val="en-US"/>
        </w:rPr>
        <w:t>‘</w:t>
      </w:r>
      <w:r>
        <w:rPr>
          <w:rtl w:val="0"/>
          <w:lang w:val="en-US"/>
        </w:rPr>
        <w:t>veni, puer</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tempus est studere</w:t>
      </w:r>
      <w:r>
        <w:rPr>
          <w:rFonts w:hAnsi="Helvetica" w:hint="default"/>
          <w:rtl w:val="0"/>
          <w:lang w:val="en-US"/>
        </w:rPr>
        <w:t>’</w:t>
      </w:r>
      <w:r>
        <w:rPr>
          <w:rtl w:val="0"/>
          <w:lang w:val="en-US"/>
        </w:rPr>
        <w:t xml:space="preserve">. Quintum in scholam duxit. ubi intraverunt, omnes pueri surrexerunt magistrumque salutaverunt. ille Quintum in medium duxit et </w:t>
      </w:r>
      <w:r>
        <w:rPr>
          <w:rFonts w:hAnsi="Helvetica" w:hint="default"/>
          <w:rtl w:val="0"/>
          <w:lang w:val="en-US"/>
        </w:rPr>
        <w:t>‘</w:t>
      </w:r>
      <w:r>
        <w:rPr>
          <w:rtl w:val="0"/>
          <w:lang w:val="en-US"/>
        </w:rPr>
        <w:t>ecce, pueri</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novum discipulum vobis commendo. nomen ei est Quintus Horatius Flaccus. barbarus est: Graece nec dicere nec legere potest.</w:t>
      </w:r>
      <w:r>
        <w:rPr>
          <w:rFonts w:hAnsi="Helvetica" w:hint="default"/>
          <w:rtl w:val="0"/>
          <w:lang w:val="en-US"/>
        </w:rPr>
        <w:t xml:space="preserve">’ </w:t>
      </w:r>
      <w:r>
        <w:rPr>
          <w:rtl w:val="0"/>
          <w:lang w:val="en-US"/>
        </w:rPr>
        <w:t xml:space="preserve">omnes pueri ridebant. ille </w:t>
      </w:r>
      <w:r>
        <w:rPr>
          <w:rFonts w:hAnsi="Helvetica" w:hint="default"/>
          <w:rtl w:val="0"/>
          <w:lang w:val="en-US"/>
        </w:rPr>
        <w:t>‘</w:t>
      </w:r>
      <w:r>
        <w:rPr>
          <w:rtl w:val="0"/>
          <w:lang w:val="en-US"/>
        </w:rPr>
        <w:t>tacete, pueri</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Quinte, ad angulum i et litteras Graecas disce.</w:t>
      </w:r>
      <w:r>
        <w:rPr>
          <w:rFonts w:hAnsi="Helvetica" w:hint="default"/>
          <w:rtl w:val="0"/>
          <w:lang w:val="en-US"/>
        </w:rPr>
        <w:t xml:space="preserve">’ </w:t>
      </w:r>
      <w:r>
        <w:rPr>
          <w:rtl w:val="0"/>
          <w:lang w:val="en-US"/>
        </w:rPr>
        <w:t xml:space="preserve">itaque Quintus in angulo scholae sedebat litterisque Graecis studebat. Orbilius ceteros Iliadem Homeri docebat; omnes Homerum facile intellegebant; omnes versus Graecos recte recitabant. interdum puerorum quidam se vertit et nares fastidiose corrugavit. Quintus valde miser erat; domum redire cupiebat. </w:t>
      </w:r>
    </w:p>
    <w:p>
      <w:pPr>
        <w:pStyle w:val="Body"/>
        <w:jc w:val="left"/>
      </w:pPr>
    </w:p>
    <w:p>
      <w:pPr>
        <w:pStyle w:val="Body"/>
        <w:jc w:val="center"/>
        <w:rPr>
          <w:b w:val="1"/>
          <w:bCs w:val="1"/>
        </w:rPr>
      </w:pPr>
      <w:r>
        <w:rPr>
          <w:b w:val="1"/>
          <w:bCs w:val="1"/>
          <w:rtl w:val="0"/>
          <w:lang w:val="en-US"/>
        </w:rPr>
        <w:t>Glossary</w:t>
      </w:r>
    </w:p>
    <w:p>
      <w:pPr>
        <w:pStyle w:val="Body"/>
        <w:jc w:val="center"/>
        <w:rPr>
          <w:b w:val="1"/>
          <w:bCs w:val="1"/>
        </w:rPr>
      </w:pPr>
    </w:p>
    <w:p>
      <w:pPr>
        <w:pStyle w:val="Body"/>
        <w:jc w:val="left"/>
        <w:rPr>
          <w:b w:val="1"/>
          <w:bCs w:val="1"/>
        </w:rPr>
      </w:pPr>
      <w:r>
        <w:rPr>
          <w:b w:val="1"/>
          <w:bCs w:val="1"/>
          <w:rtl w:val="0"/>
          <w:lang w:val="en-US"/>
        </w:rPr>
        <w:t xml:space="preserve">se: </w:t>
      </w:r>
      <w:r>
        <w:rPr>
          <w:b w:val="0"/>
          <w:bCs w:val="0"/>
          <w:rtl w:val="0"/>
          <w:lang w:val="en-US"/>
        </w:rPr>
        <w:t xml:space="preserve">reflexive pronoun, </w:t>
      </w:r>
      <w:r>
        <w:rPr>
          <w:rFonts w:hAnsi="Helvetica" w:hint="default"/>
          <w:b w:val="0"/>
          <w:bCs w:val="0"/>
          <w:rtl w:val="0"/>
          <w:lang w:val="en-US"/>
        </w:rPr>
        <w:t>“</w:t>
      </w:r>
      <w:r>
        <w:rPr>
          <w:b w:val="0"/>
          <w:bCs w:val="0"/>
          <w:rtl w:val="0"/>
          <w:lang w:val="en-US"/>
        </w:rPr>
        <w:t>himself</w:t>
      </w:r>
      <w:r>
        <w:rPr>
          <w:rFonts w:hAnsi="Helvetica" w:hint="default"/>
          <w:b w:val="0"/>
          <w:bCs w:val="0"/>
          <w:rtl w:val="0"/>
          <w:lang w:val="en-US"/>
        </w:rPr>
        <w:t>”</w:t>
      </w:r>
    </w:p>
    <w:p>
      <w:pPr>
        <w:pStyle w:val="Body"/>
        <w:jc w:val="center"/>
      </w:pPr>
    </w:p>
    <w:p>
      <w:pPr>
        <w:pStyle w:val="Body"/>
        <w:jc w:val="left"/>
        <w:rPr>
          <w:b w:val="0"/>
          <w:bCs w:val="0"/>
        </w:rPr>
      </w:pPr>
      <w:r>
        <w:rPr>
          <w:b w:val="1"/>
          <w:bCs w:val="1"/>
          <w:rtl w:val="0"/>
          <w:lang w:val="en-US"/>
        </w:rPr>
        <w:t xml:space="preserve">capsulam: </w:t>
      </w:r>
      <w:r>
        <w:rPr>
          <w:b w:val="0"/>
          <w:bCs w:val="0"/>
          <w:rtl w:val="0"/>
          <w:lang w:val="en-US"/>
        </w:rPr>
        <w:t>satchel (small bag)</w:t>
      </w:r>
    </w:p>
    <w:p>
      <w:pPr>
        <w:pStyle w:val="Body"/>
        <w:jc w:val="left"/>
        <w:rPr>
          <w:b w:val="0"/>
          <w:bCs w:val="0"/>
        </w:rPr>
      </w:pPr>
      <w:r>
        <w:rPr>
          <w:b w:val="1"/>
          <w:bCs w:val="1"/>
          <w:rtl w:val="0"/>
          <w:lang w:val="en-US"/>
        </w:rPr>
        <w:t xml:space="preserve">manibus: </w:t>
      </w:r>
      <w:r>
        <w:rPr>
          <w:b w:val="0"/>
          <w:bCs w:val="0"/>
          <w:rtl w:val="0"/>
          <w:lang w:val="en-US"/>
        </w:rPr>
        <w:t xml:space="preserve">ablative, </w:t>
      </w:r>
      <w:r>
        <w:rPr>
          <w:rFonts w:hAnsi="Helvetica" w:hint="default"/>
          <w:b w:val="0"/>
          <w:bCs w:val="0"/>
          <w:rtl w:val="0"/>
          <w:lang w:val="en-US"/>
        </w:rPr>
        <w:t>“</w:t>
      </w:r>
      <w:r>
        <w:rPr>
          <w:b w:val="0"/>
          <w:bCs w:val="0"/>
          <w:rtl w:val="0"/>
          <w:lang w:val="en-US"/>
        </w:rPr>
        <w:t>in his hands</w:t>
      </w:r>
      <w:r>
        <w:rPr>
          <w:rFonts w:hAnsi="Helvetica" w:hint="default"/>
          <w:b w:val="0"/>
          <w:bCs w:val="0"/>
          <w:rtl w:val="0"/>
          <w:lang w:val="en-US"/>
        </w:rPr>
        <w:t>”</w:t>
      </w:r>
    </w:p>
    <w:p>
      <w:pPr>
        <w:pStyle w:val="Body"/>
        <w:jc w:val="left"/>
        <w:rPr>
          <w:b w:val="0"/>
          <w:bCs w:val="0"/>
        </w:rPr>
      </w:pPr>
      <w:r>
        <w:rPr>
          <w:b w:val="1"/>
          <w:bCs w:val="1"/>
          <w:rtl w:val="0"/>
          <w:lang w:val="en-US"/>
        </w:rPr>
        <w:t xml:space="preserve">partes paedagogi: </w:t>
      </w:r>
      <w:r>
        <w:rPr>
          <w:rFonts w:hAnsi="Helvetica" w:hint="default"/>
          <w:b w:val="0"/>
          <w:bCs w:val="0"/>
          <w:rtl w:val="0"/>
          <w:lang w:val="en-US"/>
        </w:rPr>
        <w:t>“</w:t>
      </w:r>
      <w:r>
        <w:rPr>
          <w:b w:val="0"/>
          <w:bCs w:val="0"/>
          <w:rtl w:val="0"/>
          <w:lang w:val="en-US"/>
        </w:rPr>
        <w:t>the role of tutor</w:t>
      </w:r>
      <w:r>
        <w:rPr>
          <w:rFonts w:hAnsi="Helvetica" w:hint="default"/>
          <w:b w:val="0"/>
          <w:bCs w:val="0"/>
          <w:rtl w:val="0"/>
          <w:lang w:val="en-US"/>
        </w:rPr>
        <w:t>”</w:t>
      </w:r>
    </w:p>
    <w:p>
      <w:pPr>
        <w:pStyle w:val="Body"/>
        <w:jc w:val="left"/>
        <w:rPr>
          <w:b w:val="0"/>
          <w:bCs w:val="0"/>
        </w:rPr>
      </w:pPr>
      <w:r>
        <w:rPr>
          <w:b w:val="1"/>
          <w:bCs w:val="1"/>
          <w:rtl w:val="0"/>
          <w:lang w:val="en-US"/>
        </w:rPr>
        <w:t xml:space="preserve">advenerant: </w:t>
      </w:r>
      <w:r>
        <w:rPr>
          <w:rFonts w:hAnsi="Helvetica" w:hint="default"/>
          <w:b w:val="0"/>
          <w:bCs w:val="0"/>
          <w:rtl w:val="0"/>
          <w:lang w:val="en-US"/>
        </w:rPr>
        <w:t>“</w:t>
      </w:r>
      <w:r>
        <w:rPr>
          <w:b w:val="0"/>
          <w:bCs w:val="0"/>
          <w:rtl w:val="0"/>
          <w:lang w:val="en-US"/>
        </w:rPr>
        <w:t>had arrived</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sedentem: </w:t>
      </w:r>
      <w:r>
        <w:rPr>
          <w:rFonts w:hAnsi="Helvetica" w:hint="default"/>
          <w:b w:val="0"/>
          <w:bCs w:val="0"/>
          <w:rtl w:val="0"/>
          <w:lang w:val="en-US"/>
        </w:rPr>
        <w:t>“</w:t>
      </w:r>
      <w:r>
        <w:rPr>
          <w:b w:val="0"/>
          <w:bCs w:val="0"/>
          <w:rtl w:val="0"/>
          <w:lang w:val="en-US"/>
        </w:rPr>
        <w:t>sitting</w:t>
      </w:r>
      <w:r>
        <w:rPr>
          <w:rFonts w:hAnsi="Helvetica" w:hint="default"/>
          <w:b w:val="0"/>
          <w:bCs w:val="0"/>
          <w:rtl w:val="0"/>
          <w:lang w:val="en-US"/>
        </w:rPr>
        <w:t>”</w:t>
      </w:r>
      <w:r>
        <w:rPr>
          <w:b w:val="0"/>
          <w:bCs w:val="0"/>
          <w:rtl w:val="0"/>
          <w:lang w:val="en-US"/>
        </w:rPr>
        <w:t>, accusative case</w:t>
      </w:r>
    </w:p>
    <w:p>
      <w:pPr>
        <w:pStyle w:val="Body"/>
        <w:jc w:val="left"/>
        <w:rPr>
          <w:b w:val="0"/>
          <w:bCs w:val="0"/>
        </w:rPr>
      </w:pPr>
    </w:p>
    <w:p>
      <w:pPr>
        <w:pStyle w:val="Body"/>
        <w:jc w:val="left"/>
        <w:rPr>
          <w:b w:val="0"/>
          <w:bCs w:val="0"/>
        </w:rPr>
      </w:pPr>
      <w:r>
        <w:rPr>
          <w:b w:val="1"/>
          <w:bCs w:val="1"/>
          <w:rtl w:val="0"/>
          <w:lang w:val="en-US"/>
        </w:rPr>
        <w:t xml:space="preserve">ferulam: </w:t>
      </w:r>
      <w:r>
        <w:rPr>
          <w:b w:val="0"/>
          <w:bCs w:val="0"/>
          <w:rtl w:val="0"/>
          <w:lang w:val="en-US"/>
        </w:rPr>
        <w:t>cane</w:t>
      </w: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pauca: </w:t>
      </w:r>
      <w:r>
        <w:rPr>
          <w:rFonts w:hAnsi="Helvetica" w:hint="default"/>
          <w:b w:val="0"/>
          <w:bCs w:val="0"/>
          <w:rtl w:val="0"/>
          <w:lang w:val="en-US"/>
        </w:rPr>
        <w:t>“</w:t>
      </w:r>
      <w:r>
        <w:rPr>
          <w:b w:val="0"/>
          <w:bCs w:val="0"/>
          <w:rtl w:val="0"/>
          <w:lang w:val="en-US"/>
        </w:rPr>
        <w:t>A few things</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 xml:space="preserve">multa: </w:t>
      </w:r>
      <w:r>
        <w:rPr>
          <w:rFonts w:hAnsi="Helvetica" w:hint="default"/>
          <w:b w:val="0"/>
          <w:bCs w:val="0"/>
          <w:rtl w:val="0"/>
          <w:lang w:val="en-US"/>
        </w:rPr>
        <w:t>“</w:t>
      </w:r>
      <w:r>
        <w:rPr>
          <w:b w:val="0"/>
          <w:bCs w:val="0"/>
          <w:rtl w:val="0"/>
          <w:lang w:val="en-US"/>
        </w:rPr>
        <w:t>many things</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manibus: </w:t>
      </w:r>
      <w:r>
        <w:rPr>
          <w:rFonts w:hAnsi="Helvetica" w:hint="default"/>
          <w:b w:val="0"/>
          <w:bCs w:val="0"/>
          <w:rtl w:val="0"/>
          <w:lang w:val="en-US"/>
        </w:rPr>
        <w:t>“</w:t>
      </w:r>
      <w:r>
        <w:rPr>
          <w:b w:val="0"/>
          <w:bCs w:val="0"/>
          <w:rtl w:val="0"/>
          <w:lang w:val="en-US"/>
        </w:rPr>
        <w:t>in his hands</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 xml:space="preserve">Graece: </w:t>
      </w:r>
      <w:r>
        <w:rPr>
          <w:rFonts w:hAnsi="Helvetica" w:hint="default"/>
          <w:b w:val="0"/>
          <w:bCs w:val="0"/>
          <w:rtl w:val="0"/>
          <w:lang w:val="en-US"/>
        </w:rPr>
        <w:t>“</w:t>
      </w:r>
      <w:r>
        <w:rPr>
          <w:b w:val="0"/>
          <w:bCs w:val="0"/>
          <w:rtl w:val="0"/>
          <w:lang w:val="en-US"/>
        </w:rPr>
        <w:t>in Greek</w:t>
      </w:r>
      <w:r>
        <w:rPr>
          <w:rFonts w:hAnsi="Helvetica" w:hint="default"/>
          <w:b w:val="0"/>
          <w:bCs w:val="0"/>
          <w:rtl w:val="0"/>
          <w:lang w:val="en-US"/>
        </w:rPr>
        <w:t>”</w:t>
      </w:r>
    </w:p>
    <w:p>
      <w:pPr>
        <w:pStyle w:val="Body"/>
        <w:jc w:val="left"/>
        <w:rPr>
          <w:b w:val="0"/>
          <w:bCs w:val="0"/>
        </w:rPr>
      </w:pPr>
    </w:p>
    <w:p>
      <w:pPr>
        <w:pStyle w:val="Body"/>
        <w:jc w:val="left"/>
        <w:rPr>
          <w:b w:val="0"/>
          <w:bCs w:val="0"/>
        </w:rPr>
      </w:pPr>
      <w:r>
        <w:rPr>
          <w:b w:val="1"/>
          <w:bCs w:val="1"/>
          <w:rtl w:val="0"/>
          <w:lang w:val="en-US"/>
        </w:rPr>
        <w:t>nec</w:t>
      </w:r>
      <w:r>
        <w:rPr>
          <w:rFonts w:hAnsi="Helvetica" w:hint="default"/>
          <w:b w:val="1"/>
          <w:bCs w:val="1"/>
          <w:rtl w:val="0"/>
          <w:lang w:val="en-US"/>
        </w:rPr>
        <w:t>…</w:t>
      </w:r>
      <w:r>
        <w:rPr>
          <w:b w:val="1"/>
          <w:bCs w:val="1"/>
          <w:rtl w:val="0"/>
          <w:lang w:val="en-US"/>
        </w:rPr>
        <w:t>nec</w:t>
      </w:r>
      <w:r>
        <w:rPr>
          <w:rFonts w:hAnsi="Helvetica" w:hint="default"/>
          <w:b w:val="1"/>
          <w:bCs w:val="1"/>
          <w:rtl w:val="0"/>
          <w:lang w:val="en-US"/>
        </w:rPr>
        <w:t>…</w:t>
      </w:r>
      <w:r>
        <w:rPr>
          <w:b w:val="1"/>
          <w:bCs w:val="1"/>
          <w:rtl w:val="0"/>
          <w:lang w:val="en-US"/>
        </w:rPr>
        <w:t xml:space="preserve">: </w:t>
      </w:r>
      <w:r>
        <w:rPr>
          <w:rFonts w:hAnsi="Helvetica" w:hint="default"/>
          <w:b w:val="0"/>
          <w:bCs w:val="0"/>
          <w:rtl w:val="0"/>
          <w:lang w:val="en-US"/>
        </w:rPr>
        <w:t>“</w:t>
      </w:r>
      <w:r>
        <w:rPr>
          <w:b w:val="0"/>
          <w:bCs w:val="0"/>
          <w:rtl w:val="0"/>
          <w:lang w:val="en-US"/>
        </w:rPr>
        <w:t>neither</w:t>
      </w:r>
      <w:r>
        <w:rPr>
          <w:rFonts w:hAnsi="Helvetica" w:hint="default"/>
          <w:b w:val="0"/>
          <w:bCs w:val="0"/>
          <w:rtl w:val="0"/>
          <w:lang w:val="en-US"/>
        </w:rPr>
        <w:t>…</w:t>
      </w:r>
      <w:r>
        <w:rPr>
          <w:b w:val="0"/>
          <w:bCs w:val="0"/>
          <w:rtl w:val="0"/>
          <w:lang w:val="en-US"/>
        </w:rPr>
        <w:t>nor</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nomen ei est: </w:t>
      </w:r>
      <w:r>
        <w:rPr>
          <w:rFonts w:hAnsi="Helvetica" w:hint="default"/>
          <w:b w:val="0"/>
          <w:bCs w:val="0"/>
          <w:rtl w:val="0"/>
          <w:lang w:val="en-US"/>
        </w:rPr>
        <w:t>“</w:t>
      </w:r>
      <w:r>
        <w:rPr>
          <w:b w:val="0"/>
          <w:bCs w:val="0"/>
          <w:rtl w:val="0"/>
          <w:lang w:val="en-US"/>
        </w:rPr>
        <w:t>his name is</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i w:val="1"/>
          <w:iCs w:val="1"/>
        </w:rPr>
      </w:pPr>
      <w:r>
        <w:rPr>
          <w:b w:val="1"/>
          <w:bCs w:val="1"/>
          <w:rtl w:val="0"/>
          <w:lang w:val="en-US"/>
        </w:rPr>
        <w:t xml:space="preserve">i: </w:t>
      </w:r>
      <w:r>
        <w:rPr>
          <w:b w:val="0"/>
          <w:bCs w:val="0"/>
          <w:rtl w:val="0"/>
          <w:lang w:val="en-US"/>
        </w:rPr>
        <w:t xml:space="preserve">singular imperative of </w:t>
      </w:r>
      <w:r>
        <w:rPr>
          <w:b w:val="0"/>
          <w:bCs w:val="0"/>
          <w:i w:val="1"/>
          <w:iCs w:val="1"/>
          <w:rtl w:val="0"/>
          <w:lang w:val="en-US"/>
        </w:rPr>
        <w:t>eo, ire, ivi</w:t>
      </w:r>
    </w:p>
    <w:p>
      <w:pPr>
        <w:pStyle w:val="Body"/>
        <w:jc w:val="left"/>
        <w:rPr>
          <w:b w:val="0"/>
          <w:bCs w:val="0"/>
          <w:i w:val="1"/>
          <w:iCs w:val="1"/>
        </w:rPr>
      </w:pPr>
    </w:p>
    <w:p>
      <w:pPr>
        <w:pStyle w:val="Body"/>
        <w:jc w:val="left"/>
        <w:rPr>
          <w:b w:val="0"/>
          <w:bCs w:val="0"/>
        </w:rPr>
      </w:pPr>
      <w:r>
        <w:rPr>
          <w:b w:val="1"/>
          <w:bCs w:val="1"/>
          <w:rtl w:val="0"/>
          <w:lang w:val="en-US"/>
        </w:rPr>
        <w:t xml:space="preserve">Iliadem Homeri: </w:t>
      </w:r>
      <w:r>
        <w:rPr>
          <w:rFonts w:hAnsi="Helvetica" w:hint="default"/>
          <w:b w:val="0"/>
          <w:bCs w:val="0"/>
          <w:rtl w:val="0"/>
          <w:lang w:val="en-US"/>
        </w:rPr>
        <w:t>“</w:t>
      </w:r>
      <w:r>
        <w:rPr>
          <w:b w:val="0"/>
          <w:bCs w:val="0"/>
          <w:rtl w:val="0"/>
          <w:lang w:val="en-US"/>
        </w:rPr>
        <w:t>The Iliad of Homer</w:t>
      </w:r>
      <w:r>
        <w:rPr>
          <w:rFonts w:hAnsi="Helvetica" w:hint="default"/>
          <w:b w:val="0"/>
          <w:bCs w:val="0"/>
          <w:rtl w:val="0"/>
          <w:lang w:val="en-US"/>
        </w:rPr>
        <w:t>”</w:t>
      </w:r>
    </w:p>
    <w:p>
      <w:pPr>
        <w:pStyle w:val="Body"/>
        <w:jc w:val="left"/>
        <w:rPr>
          <w:b w:val="0"/>
          <w:bCs w:val="0"/>
        </w:rPr>
      </w:pPr>
      <w:r>
        <w:rPr>
          <w:b w:val="1"/>
          <w:bCs w:val="1"/>
          <w:rtl w:val="0"/>
          <w:lang w:val="en-US"/>
        </w:rPr>
        <w:t xml:space="preserve">quidam: </w:t>
      </w:r>
      <w:r>
        <w:rPr>
          <w:rFonts w:hAnsi="Helvetica" w:hint="default"/>
          <w:b w:val="0"/>
          <w:bCs w:val="0"/>
          <w:rtl w:val="0"/>
          <w:lang w:val="en-US"/>
        </w:rPr>
        <w:t>“</w:t>
      </w:r>
      <w:r>
        <w:rPr>
          <w:b w:val="0"/>
          <w:bCs w:val="0"/>
          <w:rtl w:val="0"/>
          <w:lang w:val="en-US"/>
        </w:rPr>
        <w:t>a certain one</w:t>
      </w:r>
      <w:r>
        <w:rPr>
          <w:rFonts w:hAnsi="Helvetica" w:hint="default"/>
          <w:b w:val="0"/>
          <w:bCs w:val="0"/>
          <w:rtl w:val="0"/>
          <w:lang w:val="en-US"/>
        </w:rPr>
        <w:t>”</w:t>
      </w:r>
    </w:p>
    <w:p>
      <w:pPr>
        <w:pStyle w:val="Body"/>
        <w:jc w:val="left"/>
        <w:rPr>
          <w:b w:val="0"/>
          <w:bCs w:val="0"/>
        </w:rPr>
      </w:pPr>
      <w:r>
        <w:rPr>
          <w:b w:val="1"/>
          <w:bCs w:val="1"/>
          <w:rtl w:val="0"/>
          <w:lang w:val="en-US"/>
        </w:rPr>
        <w:t xml:space="preserve">nares corrugavit: </w:t>
      </w:r>
      <w:r>
        <w:rPr>
          <w:rFonts w:hAnsi="Helvetica" w:hint="default"/>
          <w:b w:val="0"/>
          <w:bCs w:val="0"/>
          <w:rtl w:val="0"/>
          <w:lang w:val="en-US"/>
        </w:rPr>
        <w:t>“</w:t>
      </w:r>
      <w:r>
        <w:rPr>
          <w:b w:val="0"/>
          <w:bCs w:val="0"/>
          <w:rtl w:val="0"/>
          <w:lang w:val="en-US"/>
        </w:rPr>
        <w:t>turned up his nose</w:t>
      </w:r>
      <w:r>
        <w:rPr>
          <w:rFonts w:hAnsi="Helvetica" w:hint="default"/>
          <w:b w:val="0"/>
          <w:bCs w:val="0"/>
          <w:rtl w:val="0"/>
          <w:lang w:val="en-US"/>
        </w:rPr>
        <w:t>”</w:t>
      </w:r>
    </w:p>
    <w:p>
      <w:pPr>
        <w:pStyle w:val="Body"/>
        <w:jc w:val="left"/>
        <w:rPr>
          <w:b w:val="0"/>
          <w:bCs w:val="0"/>
        </w:rPr>
      </w:pPr>
      <w:r>
        <w:rPr>
          <w:b w:val="1"/>
          <w:bCs w:val="1"/>
          <w:rtl w:val="0"/>
          <w:lang w:val="en-US"/>
        </w:rPr>
        <w:t xml:space="preserve">fastidiose: </w:t>
      </w:r>
      <w:r>
        <w:rPr>
          <w:rFonts w:hAnsi="Helvetica" w:hint="default"/>
          <w:b w:val="0"/>
          <w:bCs w:val="0"/>
          <w:rtl w:val="0"/>
          <w:lang w:val="en-US"/>
        </w:rPr>
        <w:t>“</w:t>
      </w:r>
      <w:r>
        <w:rPr>
          <w:b w:val="0"/>
          <w:bCs w:val="0"/>
          <w:rtl w:val="0"/>
          <w:lang w:val="en-US"/>
        </w:rPr>
        <w:t>disdainfully</w:t>
      </w:r>
      <w:r>
        <w:rPr>
          <w:rFonts w:hAnsi="Helvetica" w:hint="default"/>
          <w:b w:val="0"/>
          <w:bCs w:val="0"/>
          <w:rtl w:val="0"/>
          <w:lang w:val="en-US"/>
        </w:rPr>
        <w:t>”</w:t>
        <w:br w:type="textWrapping"/>
      </w:r>
      <w:r>
        <w:rPr>
          <w:b w:val="0"/>
          <w:bCs w:val="0"/>
        </w:rPr>
        <w:br w:type="page"/>
      </w:r>
    </w:p>
    <w:p>
      <w:pPr>
        <w:pStyle w:val="Body"/>
        <w:jc w:val="left"/>
      </w:pPr>
    </w:p>
    <w:sectPr>
      <w:headerReference w:type="default" r:id="rId4"/>
      <w:footerReference w:type="default" r:id="rId5"/>
      <w:pgSz w:w="12240" w:h="15840" w:orient="portrait"/>
      <w:pgMar w:top="1440" w:right="1440" w:bottom="1440" w:left="1440" w:header="720" w:footer="864"/>
      <w:cols w:num="2" w:equalWidth="0">
        <w:col w:w="5292" w:space="468"/>
        <w:col w:w="360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